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1B" w:rsidRDefault="00D63773">
      <w:pPr>
        <w:rPr>
          <w:rFonts w:hint="eastAsia"/>
        </w:rPr>
      </w:pPr>
      <w:r w:rsidRPr="00D63773">
        <w:drawing>
          <wp:inline distT="0" distB="0" distL="0" distR="0">
            <wp:extent cx="5274310" cy="3494230"/>
            <wp:effectExtent l="19050" t="0" r="2159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533C85" w:rsidRDefault="00533C85" w:rsidP="00533C85">
      <w:pPr>
        <w:rPr>
          <w:rFonts w:hint="eastAsia"/>
        </w:rPr>
      </w:pPr>
    </w:p>
    <w:p w:rsidR="00D63773" w:rsidRPr="00533C85" w:rsidRDefault="00533C85">
      <w:pPr>
        <w:rPr>
          <w:rFonts w:hint="eastAsia"/>
        </w:rPr>
      </w:pPr>
      <w:r>
        <w:rPr>
          <w:rFonts w:hint="eastAsia"/>
        </w:rPr>
        <w:t xml:space="preserve">The trend that with increasing capture velocity, removal efficieny decreases is simlar to the result under the condition of 5 NTU and </w:t>
      </w:r>
      <w:proofErr w:type="gramStart"/>
      <w:r>
        <w:rPr>
          <w:rFonts w:hint="eastAsia"/>
        </w:rPr>
        <w:t>500 NTU raw water turbidity</w:t>
      </w:r>
      <w:proofErr w:type="gramEnd"/>
      <w:r>
        <w:rPr>
          <w:rFonts w:hint="eastAsia"/>
        </w:rPr>
        <w:t>. However, this kind of decrease is not that apparent after we use larger dose of alum.</w:t>
      </w:r>
    </w:p>
    <w:p w:rsidR="00AB5274" w:rsidRDefault="00A073D3">
      <w:pPr>
        <w:rPr>
          <w:rFonts w:hint="eastAsia"/>
        </w:rPr>
      </w:pPr>
      <w:r>
        <w:rPr>
          <w:rFonts w:hint="eastAsia"/>
        </w:rPr>
        <w:t xml:space="preserve">In this picture we can see that there is a big jump of removal efficiency after using alum dose of 1.5mg/L and higher. In case of causing by the abnormal running of appatuas, we redo the experiment under alum dose of 0.5mg/L. However, the removal efficiency shown is similar to the first result. So we are considering that this jump of removal efficiency is due to </w:t>
      </w:r>
      <w:r w:rsidR="00AB5274">
        <w:rPr>
          <w:rFonts w:hint="eastAsia"/>
        </w:rPr>
        <w:t xml:space="preserve">larger </w:t>
      </w:r>
      <w:r>
        <w:rPr>
          <w:rFonts w:hint="eastAsia"/>
        </w:rPr>
        <w:t>alum dose</w:t>
      </w:r>
      <w:r w:rsidR="00AB5274">
        <w:rPr>
          <w:rFonts w:hint="eastAsia"/>
        </w:rPr>
        <w:t xml:space="preserve">. With raw water turbidity of 50NTU, alum dose may play a critical role in forming enough flocs that can settle down. Since for raw water turbidity as low as 5 NTU, although we increase alum dose, turbidity is still to0 low to form many flocs that can be removed. On the contrary, when raw water turbidity is as high as 500 NTU, the turbidity is large enough to offer enough collisions and combinations between particles. Thus alum dose is not such a criticle limit in forming enough flocs. However, for raw water turbidity of 50 NTU, dose of alum may be necessary for offering enough chances for particles to form flocs with </w:t>
      </w:r>
      <w:r w:rsidR="00533C85">
        <w:rPr>
          <w:rFonts w:hint="eastAsia"/>
        </w:rPr>
        <w:t>appropriate size</w:t>
      </w:r>
      <w:r w:rsidR="00AB5274">
        <w:rPr>
          <w:rFonts w:hint="eastAsia"/>
        </w:rPr>
        <w:t>.</w:t>
      </w:r>
    </w:p>
    <w:p w:rsidR="00533C85" w:rsidRDefault="00533C85"/>
    <w:sectPr w:rsidR="00533C85" w:rsidSect="00C122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3773"/>
    <w:rsid w:val="000072D3"/>
    <w:rsid w:val="0002190C"/>
    <w:rsid w:val="000334DA"/>
    <w:rsid w:val="0003441C"/>
    <w:rsid w:val="0005402D"/>
    <w:rsid w:val="00062C32"/>
    <w:rsid w:val="00066EC1"/>
    <w:rsid w:val="0007019C"/>
    <w:rsid w:val="00076C65"/>
    <w:rsid w:val="00080875"/>
    <w:rsid w:val="00094A50"/>
    <w:rsid w:val="000A1116"/>
    <w:rsid w:val="000A7C64"/>
    <w:rsid w:val="000B1855"/>
    <w:rsid w:val="000B589F"/>
    <w:rsid w:val="000B5E8E"/>
    <w:rsid w:val="000C51F2"/>
    <w:rsid w:val="000E091E"/>
    <w:rsid w:val="000F4343"/>
    <w:rsid w:val="000F4B87"/>
    <w:rsid w:val="000F581A"/>
    <w:rsid w:val="00102E20"/>
    <w:rsid w:val="001041DF"/>
    <w:rsid w:val="0011606E"/>
    <w:rsid w:val="00124E1E"/>
    <w:rsid w:val="00127C09"/>
    <w:rsid w:val="00131978"/>
    <w:rsid w:val="00131AD2"/>
    <w:rsid w:val="00134E88"/>
    <w:rsid w:val="00135A5C"/>
    <w:rsid w:val="001405F5"/>
    <w:rsid w:val="001454D0"/>
    <w:rsid w:val="00147064"/>
    <w:rsid w:val="00157167"/>
    <w:rsid w:val="001751C3"/>
    <w:rsid w:val="001871EA"/>
    <w:rsid w:val="00195DCA"/>
    <w:rsid w:val="00195F57"/>
    <w:rsid w:val="00196332"/>
    <w:rsid w:val="001A018E"/>
    <w:rsid w:val="001A5C2F"/>
    <w:rsid w:val="001B5C82"/>
    <w:rsid w:val="001D0592"/>
    <w:rsid w:val="001D1858"/>
    <w:rsid w:val="001E37A1"/>
    <w:rsid w:val="001E5268"/>
    <w:rsid w:val="001E553E"/>
    <w:rsid w:val="001E7783"/>
    <w:rsid w:val="001F3CB1"/>
    <w:rsid w:val="001F5B84"/>
    <w:rsid w:val="0020102B"/>
    <w:rsid w:val="00210B4D"/>
    <w:rsid w:val="00211F50"/>
    <w:rsid w:val="002210A4"/>
    <w:rsid w:val="00221489"/>
    <w:rsid w:val="00222FF9"/>
    <w:rsid w:val="002379F3"/>
    <w:rsid w:val="002451A5"/>
    <w:rsid w:val="00246D6E"/>
    <w:rsid w:val="00250D49"/>
    <w:rsid w:val="002651D1"/>
    <w:rsid w:val="00266A6B"/>
    <w:rsid w:val="00271C5B"/>
    <w:rsid w:val="002735EA"/>
    <w:rsid w:val="00277D48"/>
    <w:rsid w:val="00277DB7"/>
    <w:rsid w:val="002B1710"/>
    <w:rsid w:val="002B61D4"/>
    <w:rsid w:val="002C171E"/>
    <w:rsid w:val="002C4C22"/>
    <w:rsid w:val="002D1DC2"/>
    <w:rsid w:val="002D681A"/>
    <w:rsid w:val="002E0B53"/>
    <w:rsid w:val="002E1234"/>
    <w:rsid w:val="002E3375"/>
    <w:rsid w:val="002E447C"/>
    <w:rsid w:val="002F0129"/>
    <w:rsid w:val="002F352D"/>
    <w:rsid w:val="002F430A"/>
    <w:rsid w:val="003005B1"/>
    <w:rsid w:val="003014B2"/>
    <w:rsid w:val="003153C9"/>
    <w:rsid w:val="00317C40"/>
    <w:rsid w:val="00336612"/>
    <w:rsid w:val="00337F5A"/>
    <w:rsid w:val="00340954"/>
    <w:rsid w:val="0034537C"/>
    <w:rsid w:val="003567C1"/>
    <w:rsid w:val="00357A6C"/>
    <w:rsid w:val="00357D8D"/>
    <w:rsid w:val="00370C3C"/>
    <w:rsid w:val="00385EBC"/>
    <w:rsid w:val="003931F4"/>
    <w:rsid w:val="00394155"/>
    <w:rsid w:val="003A0BC7"/>
    <w:rsid w:val="003A45E7"/>
    <w:rsid w:val="003A5BAA"/>
    <w:rsid w:val="003B02B9"/>
    <w:rsid w:val="003B370A"/>
    <w:rsid w:val="003D1287"/>
    <w:rsid w:val="003D1B60"/>
    <w:rsid w:val="003E0479"/>
    <w:rsid w:val="003E06E3"/>
    <w:rsid w:val="003E30A5"/>
    <w:rsid w:val="003E32FA"/>
    <w:rsid w:val="003E70C6"/>
    <w:rsid w:val="003F003A"/>
    <w:rsid w:val="003F1D11"/>
    <w:rsid w:val="003F50AF"/>
    <w:rsid w:val="003F6821"/>
    <w:rsid w:val="004138E7"/>
    <w:rsid w:val="00430A3E"/>
    <w:rsid w:val="004310AC"/>
    <w:rsid w:val="00432CD7"/>
    <w:rsid w:val="00435B59"/>
    <w:rsid w:val="004368C4"/>
    <w:rsid w:val="004414A9"/>
    <w:rsid w:val="004429B1"/>
    <w:rsid w:val="00446E08"/>
    <w:rsid w:val="00451F89"/>
    <w:rsid w:val="00461605"/>
    <w:rsid w:val="004631C8"/>
    <w:rsid w:val="00464A22"/>
    <w:rsid w:val="004710ED"/>
    <w:rsid w:val="00477E0D"/>
    <w:rsid w:val="00485B92"/>
    <w:rsid w:val="004875E9"/>
    <w:rsid w:val="004921F6"/>
    <w:rsid w:val="004C0337"/>
    <w:rsid w:val="004C1897"/>
    <w:rsid w:val="004C5215"/>
    <w:rsid w:val="004C65D6"/>
    <w:rsid w:val="004D3F49"/>
    <w:rsid w:val="004E20EB"/>
    <w:rsid w:val="004E7828"/>
    <w:rsid w:val="004F1801"/>
    <w:rsid w:val="004F1E36"/>
    <w:rsid w:val="004F3E7B"/>
    <w:rsid w:val="00504E70"/>
    <w:rsid w:val="00515380"/>
    <w:rsid w:val="00515A2E"/>
    <w:rsid w:val="0052310C"/>
    <w:rsid w:val="00527149"/>
    <w:rsid w:val="00527A05"/>
    <w:rsid w:val="00533C85"/>
    <w:rsid w:val="005342A0"/>
    <w:rsid w:val="00545E98"/>
    <w:rsid w:val="00546558"/>
    <w:rsid w:val="00550CE6"/>
    <w:rsid w:val="00565E34"/>
    <w:rsid w:val="00566BFC"/>
    <w:rsid w:val="00567FD5"/>
    <w:rsid w:val="00585FEC"/>
    <w:rsid w:val="00592CB0"/>
    <w:rsid w:val="00597BD7"/>
    <w:rsid w:val="00597F3D"/>
    <w:rsid w:val="005B5857"/>
    <w:rsid w:val="005B5BBC"/>
    <w:rsid w:val="005C5766"/>
    <w:rsid w:val="005D428A"/>
    <w:rsid w:val="005D6126"/>
    <w:rsid w:val="005D61AA"/>
    <w:rsid w:val="005D6FF6"/>
    <w:rsid w:val="005E0512"/>
    <w:rsid w:val="005E54C2"/>
    <w:rsid w:val="005F21E2"/>
    <w:rsid w:val="005F3DDA"/>
    <w:rsid w:val="005F4FF3"/>
    <w:rsid w:val="00606B51"/>
    <w:rsid w:val="006156B0"/>
    <w:rsid w:val="0062084A"/>
    <w:rsid w:val="00624049"/>
    <w:rsid w:val="006354DB"/>
    <w:rsid w:val="00637CE5"/>
    <w:rsid w:val="0064231E"/>
    <w:rsid w:val="00643633"/>
    <w:rsid w:val="00650AA8"/>
    <w:rsid w:val="006541FC"/>
    <w:rsid w:val="006605B3"/>
    <w:rsid w:val="0066539C"/>
    <w:rsid w:val="00665799"/>
    <w:rsid w:val="00666D77"/>
    <w:rsid w:val="00666FFA"/>
    <w:rsid w:val="0067230D"/>
    <w:rsid w:val="006779DC"/>
    <w:rsid w:val="00680665"/>
    <w:rsid w:val="0068438A"/>
    <w:rsid w:val="0068649F"/>
    <w:rsid w:val="006865CE"/>
    <w:rsid w:val="006867CB"/>
    <w:rsid w:val="006A2740"/>
    <w:rsid w:val="006B186C"/>
    <w:rsid w:val="006B5CB5"/>
    <w:rsid w:val="006C5FE4"/>
    <w:rsid w:val="006C7064"/>
    <w:rsid w:val="006C746C"/>
    <w:rsid w:val="006D2826"/>
    <w:rsid w:val="006D35C7"/>
    <w:rsid w:val="006D3A46"/>
    <w:rsid w:val="006D419F"/>
    <w:rsid w:val="006E2638"/>
    <w:rsid w:val="006E6DFD"/>
    <w:rsid w:val="006F10B1"/>
    <w:rsid w:val="006F4D53"/>
    <w:rsid w:val="006F5361"/>
    <w:rsid w:val="00705BB5"/>
    <w:rsid w:val="0070606E"/>
    <w:rsid w:val="00720FAA"/>
    <w:rsid w:val="00722A1F"/>
    <w:rsid w:val="007256E5"/>
    <w:rsid w:val="00726A8D"/>
    <w:rsid w:val="0073060C"/>
    <w:rsid w:val="0073336F"/>
    <w:rsid w:val="00733AC0"/>
    <w:rsid w:val="007416D3"/>
    <w:rsid w:val="00743822"/>
    <w:rsid w:val="0074666B"/>
    <w:rsid w:val="00755587"/>
    <w:rsid w:val="0076056E"/>
    <w:rsid w:val="007706D1"/>
    <w:rsid w:val="00772349"/>
    <w:rsid w:val="00781D32"/>
    <w:rsid w:val="00784029"/>
    <w:rsid w:val="007A393A"/>
    <w:rsid w:val="007A3AE6"/>
    <w:rsid w:val="007A7A23"/>
    <w:rsid w:val="007B1539"/>
    <w:rsid w:val="007C1809"/>
    <w:rsid w:val="007E1473"/>
    <w:rsid w:val="007E732C"/>
    <w:rsid w:val="007F1ED1"/>
    <w:rsid w:val="007F382F"/>
    <w:rsid w:val="007F576F"/>
    <w:rsid w:val="007F57FE"/>
    <w:rsid w:val="007F5A92"/>
    <w:rsid w:val="008009AB"/>
    <w:rsid w:val="00805FE7"/>
    <w:rsid w:val="00807157"/>
    <w:rsid w:val="0080750A"/>
    <w:rsid w:val="00807532"/>
    <w:rsid w:val="00814BD5"/>
    <w:rsid w:val="00825AD5"/>
    <w:rsid w:val="00826E7B"/>
    <w:rsid w:val="0083144C"/>
    <w:rsid w:val="00831903"/>
    <w:rsid w:val="00847607"/>
    <w:rsid w:val="0085229B"/>
    <w:rsid w:val="00854783"/>
    <w:rsid w:val="00854C90"/>
    <w:rsid w:val="00857F5F"/>
    <w:rsid w:val="00865126"/>
    <w:rsid w:val="008676B4"/>
    <w:rsid w:val="0087338C"/>
    <w:rsid w:val="00873863"/>
    <w:rsid w:val="00873EA9"/>
    <w:rsid w:val="0087465E"/>
    <w:rsid w:val="00881850"/>
    <w:rsid w:val="00892E5C"/>
    <w:rsid w:val="00893355"/>
    <w:rsid w:val="008A5CB8"/>
    <w:rsid w:val="008A681A"/>
    <w:rsid w:val="008B7748"/>
    <w:rsid w:val="008C0242"/>
    <w:rsid w:val="008C4307"/>
    <w:rsid w:val="008D0AE6"/>
    <w:rsid w:val="008D2C51"/>
    <w:rsid w:val="008E4CB7"/>
    <w:rsid w:val="008F1598"/>
    <w:rsid w:val="008F3844"/>
    <w:rsid w:val="008F5860"/>
    <w:rsid w:val="00906ECC"/>
    <w:rsid w:val="00906F25"/>
    <w:rsid w:val="00911ABE"/>
    <w:rsid w:val="00912AB0"/>
    <w:rsid w:val="009152B7"/>
    <w:rsid w:val="00924584"/>
    <w:rsid w:val="00926DD7"/>
    <w:rsid w:val="009426E7"/>
    <w:rsid w:val="00943380"/>
    <w:rsid w:val="009562DC"/>
    <w:rsid w:val="009819F0"/>
    <w:rsid w:val="009829DB"/>
    <w:rsid w:val="00992772"/>
    <w:rsid w:val="00995EAB"/>
    <w:rsid w:val="009A147A"/>
    <w:rsid w:val="009B63B0"/>
    <w:rsid w:val="009C4067"/>
    <w:rsid w:val="009C433A"/>
    <w:rsid w:val="009C723E"/>
    <w:rsid w:val="009C793B"/>
    <w:rsid w:val="009D1FB7"/>
    <w:rsid w:val="009D48B2"/>
    <w:rsid w:val="009D74A0"/>
    <w:rsid w:val="009F34CE"/>
    <w:rsid w:val="009F3A8D"/>
    <w:rsid w:val="00A000F8"/>
    <w:rsid w:val="00A0113F"/>
    <w:rsid w:val="00A06672"/>
    <w:rsid w:val="00A073D3"/>
    <w:rsid w:val="00A15D92"/>
    <w:rsid w:val="00A16E30"/>
    <w:rsid w:val="00A27C2B"/>
    <w:rsid w:val="00A35D30"/>
    <w:rsid w:val="00A365A1"/>
    <w:rsid w:val="00A45F91"/>
    <w:rsid w:val="00A51D4F"/>
    <w:rsid w:val="00A610BC"/>
    <w:rsid w:val="00A66AFF"/>
    <w:rsid w:val="00A84D87"/>
    <w:rsid w:val="00A8661D"/>
    <w:rsid w:val="00AA15D4"/>
    <w:rsid w:val="00AA5F4F"/>
    <w:rsid w:val="00AB2F92"/>
    <w:rsid w:val="00AB460D"/>
    <w:rsid w:val="00AB5274"/>
    <w:rsid w:val="00AB61CE"/>
    <w:rsid w:val="00AC00A2"/>
    <w:rsid w:val="00AC6BF7"/>
    <w:rsid w:val="00AE11AF"/>
    <w:rsid w:val="00AE2DEC"/>
    <w:rsid w:val="00AE4B0A"/>
    <w:rsid w:val="00B0236D"/>
    <w:rsid w:val="00B03DB7"/>
    <w:rsid w:val="00B03FCC"/>
    <w:rsid w:val="00B13AF6"/>
    <w:rsid w:val="00B1704C"/>
    <w:rsid w:val="00B23519"/>
    <w:rsid w:val="00B23B42"/>
    <w:rsid w:val="00B25749"/>
    <w:rsid w:val="00B31AC4"/>
    <w:rsid w:val="00B36ADD"/>
    <w:rsid w:val="00B4154C"/>
    <w:rsid w:val="00B4497C"/>
    <w:rsid w:val="00B512DD"/>
    <w:rsid w:val="00B52A22"/>
    <w:rsid w:val="00B54C50"/>
    <w:rsid w:val="00B57636"/>
    <w:rsid w:val="00B576DC"/>
    <w:rsid w:val="00B62FCC"/>
    <w:rsid w:val="00B66E88"/>
    <w:rsid w:val="00B71B0D"/>
    <w:rsid w:val="00B729DB"/>
    <w:rsid w:val="00B72A38"/>
    <w:rsid w:val="00B759CF"/>
    <w:rsid w:val="00B777EA"/>
    <w:rsid w:val="00B80856"/>
    <w:rsid w:val="00B81634"/>
    <w:rsid w:val="00B82344"/>
    <w:rsid w:val="00B8378F"/>
    <w:rsid w:val="00B84A35"/>
    <w:rsid w:val="00B86096"/>
    <w:rsid w:val="00B86320"/>
    <w:rsid w:val="00B96D5E"/>
    <w:rsid w:val="00BA0616"/>
    <w:rsid w:val="00BB1B26"/>
    <w:rsid w:val="00BB3731"/>
    <w:rsid w:val="00BC0BC9"/>
    <w:rsid w:val="00BD5746"/>
    <w:rsid w:val="00BF5419"/>
    <w:rsid w:val="00BF54B4"/>
    <w:rsid w:val="00BF6D9D"/>
    <w:rsid w:val="00BF7E90"/>
    <w:rsid w:val="00BF7F34"/>
    <w:rsid w:val="00C00201"/>
    <w:rsid w:val="00C0320D"/>
    <w:rsid w:val="00C1221B"/>
    <w:rsid w:val="00C22308"/>
    <w:rsid w:val="00C232B3"/>
    <w:rsid w:val="00C23A34"/>
    <w:rsid w:val="00C26889"/>
    <w:rsid w:val="00C26AC7"/>
    <w:rsid w:val="00C5381A"/>
    <w:rsid w:val="00C53F4C"/>
    <w:rsid w:val="00C55684"/>
    <w:rsid w:val="00C569F7"/>
    <w:rsid w:val="00C578CE"/>
    <w:rsid w:val="00C66688"/>
    <w:rsid w:val="00C710A7"/>
    <w:rsid w:val="00C75A8B"/>
    <w:rsid w:val="00C8306D"/>
    <w:rsid w:val="00C84EA2"/>
    <w:rsid w:val="00C911E1"/>
    <w:rsid w:val="00CA0CB1"/>
    <w:rsid w:val="00CA4C9E"/>
    <w:rsid w:val="00CB6867"/>
    <w:rsid w:val="00CB69DA"/>
    <w:rsid w:val="00CC0A9A"/>
    <w:rsid w:val="00CC326F"/>
    <w:rsid w:val="00CC3E2C"/>
    <w:rsid w:val="00CD539D"/>
    <w:rsid w:val="00CD76C0"/>
    <w:rsid w:val="00CE171E"/>
    <w:rsid w:val="00CE4282"/>
    <w:rsid w:val="00CE613C"/>
    <w:rsid w:val="00D02E36"/>
    <w:rsid w:val="00D04B06"/>
    <w:rsid w:val="00D07584"/>
    <w:rsid w:val="00D1269D"/>
    <w:rsid w:val="00D1689E"/>
    <w:rsid w:val="00D30818"/>
    <w:rsid w:val="00D36C91"/>
    <w:rsid w:val="00D51E2E"/>
    <w:rsid w:val="00D555A6"/>
    <w:rsid w:val="00D56DB2"/>
    <w:rsid w:val="00D572D0"/>
    <w:rsid w:val="00D63773"/>
    <w:rsid w:val="00D70FCD"/>
    <w:rsid w:val="00D757F4"/>
    <w:rsid w:val="00D853F6"/>
    <w:rsid w:val="00D91113"/>
    <w:rsid w:val="00D92E08"/>
    <w:rsid w:val="00DA0E92"/>
    <w:rsid w:val="00DA30FE"/>
    <w:rsid w:val="00DA4E78"/>
    <w:rsid w:val="00DA5C9B"/>
    <w:rsid w:val="00DA6BE6"/>
    <w:rsid w:val="00DB2C1C"/>
    <w:rsid w:val="00DB4969"/>
    <w:rsid w:val="00DB5493"/>
    <w:rsid w:val="00DB59E4"/>
    <w:rsid w:val="00DC08F3"/>
    <w:rsid w:val="00DD0414"/>
    <w:rsid w:val="00DD3E55"/>
    <w:rsid w:val="00DE6B45"/>
    <w:rsid w:val="00E056AC"/>
    <w:rsid w:val="00E065BE"/>
    <w:rsid w:val="00E06A15"/>
    <w:rsid w:val="00E12F94"/>
    <w:rsid w:val="00E1408C"/>
    <w:rsid w:val="00E15DEF"/>
    <w:rsid w:val="00E170FE"/>
    <w:rsid w:val="00E17FFB"/>
    <w:rsid w:val="00E20392"/>
    <w:rsid w:val="00E21717"/>
    <w:rsid w:val="00E24CCE"/>
    <w:rsid w:val="00E40BF8"/>
    <w:rsid w:val="00E457EF"/>
    <w:rsid w:val="00E54D77"/>
    <w:rsid w:val="00E64019"/>
    <w:rsid w:val="00E8094A"/>
    <w:rsid w:val="00E91555"/>
    <w:rsid w:val="00E9157A"/>
    <w:rsid w:val="00E920A6"/>
    <w:rsid w:val="00E92BB8"/>
    <w:rsid w:val="00E92C43"/>
    <w:rsid w:val="00E94ACC"/>
    <w:rsid w:val="00E95231"/>
    <w:rsid w:val="00EA2AE5"/>
    <w:rsid w:val="00EB5D23"/>
    <w:rsid w:val="00ED7C28"/>
    <w:rsid w:val="00EE324D"/>
    <w:rsid w:val="00EE4D2A"/>
    <w:rsid w:val="00EE5FB1"/>
    <w:rsid w:val="00EF1499"/>
    <w:rsid w:val="00EF2ED3"/>
    <w:rsid w:val="00EF32C3"/>
    <w:rsid w:val="00EF37E4"/>
    <w:rsid w:val="00F0488E"/>
    <w:rsid w:val="00F05273"/>
    <w:rsid w:val="00F06ECD"/>
    <w:rsid w:val="00F1462F"/>
    <w:rsid w:val="00F23208"/>
    <w:rsid w:val="00F37590"/>
    <w:rsid w:val="00F429E1"/>
    <w:rsid w:val="00F438D2"/>
    <w:rsid w:val="00F45FE1"/>
    <w:rsid w:val="00F46C13"/>
    <w:rsid w:val="00F5244B"/>
    <w:rsid w:val="00F545CB"/>
    <w:rsid w:val="00F56D78"/>
    <w:rsid w:val="00F66408"/>
    <w:rsid w:val="00F70412"/>
    <w:rsid w:val="00F7131E"/>
    <w:rsid w:val="00F77981"/>
    <w:rsid w:val="00F91A87"/>
    <w:rsid w:val="00F91E9D"/>
    <w:rsid w:val="00FA4C41"/>
    <w:rsid w:val="00FC0828"/>
    <w:rsid w:val="00FC26FA"/>
    <w:rsid w:val="00FD09ED"/>
    <w:rsid w:val="00FD6E6C"/>
    <w:rsid w:val="00FE31BA"/>
    <w:rsid w:val="00FE4EE8"/>
    <w:rsid w:val="00FE6570"/>
    <w:rsid w:val="00FE659A"/>
    <w:rsid w:val="00FF0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2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63773"/>
    <w:rPr>
      <w:sz w:val="18"/>
      <w:szCs w:val="18"/>
    </w:rPr>
  </w:style>
  <w:style w:type="character" w:customStyle="1" w:styleId="Char">
    <w:name w:val="批注框文本 Char"/>
    <w:basedOn w:val="a0"/>
    <w:link w:val="a3"/>
    <w:uiPriority w:val="99"/>
    <w:semiHidden/>
    <w:rsid w:val="00D6377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BF8B7FEA0B084D1\&#26700;&#38754;\50%20NTU%20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scatterChart>
        <c:scatterStyle val="smoothMarker"/>
        <c:ser>
          <c:idx val="0"/>
          <c:order val="0"/>
          <c:tx>
            <c:v>alum dose=0.5mg/L</c:v>
          </c:tx>
          <c:marker>
            <c:symbol val="diamond"/>
            <c:size val="5"/>
          </c:marker>
          <c:xVal>
            <c:numRef>
              <c:f>Sheet1!$C$2:$C$8</c:f>
              <c:numCache>
                <c:formatCode>General</c:formatCode>
                <c:ptCount val="7"/>
                <c:pt idx="0">
                  <c:v>0.05</c:v>
                </c:pt>
                <c:pt idx="1">
                  <c:v>7.5000000000000011E-2</c:v>
                </c:pt>
                <c:pt idx="2">
                  <c:v>0.1</c:v>
                </c:pt>
                <c:pt idx="3">
                  <c:v>0.125</c:v>
                </c:pt>
                <c:pt idx="4">
                  <c:v>0.15000000000000002</c:v>
                </c:pt>
                <c:pt idx="5">
                  <c:v>0.2</c:v>
                </c:pt>
                <c:pt idx="6">
                  <c:v>0.30000000000000004</c:v>
                </c:pt>
              </c:numCache>
            </c:numRef>
          </c:xVal>
          <c:yVal>
            <c:numRef>
              <c:f>Sheet1!$H$2:$H$8</c:f>
              <c:numCache>
                <c:formatCode>0.00</c:formatCode>
                <c:ptCount val="7"/>
                <c:pt idx="0">
                  <c:v>0.47417535356255336</c:v>
                </c:pt>
                <c:pt idx="1">
                  <c:v>0.36579341284758571</c:v>
                </c:pt>
                <c:pt idx="2">
                  <c:v>0.27801353769297005</c:v>
                </c:pt>
                <c:pt idx="3">
                  <c:v>0.21768260194962047</c:v>
                </c:pt>
                <c:pt idx="4">
                  <c:v>0.19829529237960741</c:v>
                </c:pt>
                <c:pt idx="5">
                  <c:v>0.14471845951452333</c:v>
                </c:pt>
                <c:pt idx="6">
                  <c:v>0.11493224510010169</c:v>
                </c:pt>
              </c:numCache>
            </c:numRef>
          </c:yVal>
          <c:smooth val="1"/>
        </c:ser>
        <c:ser>
          <c:idx val="1"/>
          <c:order val="1"/>
          <c:tx>
            <c:v>alum dose=1mg/L</c:v>
          </c:tx>
          <c:marker>
            <c:symbol val="square"/>
            <c:size val="5"/>
          </c:marker>
          <c:xVal>
            <c:numRef>
              <c:f>Sheet1!$C$9:$C$15</c:f>
              <c:numCache>
                <c:formatCode>General</c:formatCode>
                <c:ptCount val="7"/>
                <c:pt idx="0">
                  <c:v>0.05</c:v>
                </c:pt>
                <c:pt idx="1">
                  <c:v>7.5000000000000011E-2</c:v>
                </c:pt>
                <c:pt idx="2">
                  <c:v>0.1</c:v>
                </c:pt>
                <c:pt idx="3">
                  <c:v>0.125</c:v>
                </c:pt>
                <c:pt idx="4">
                  <c:v>0.15000000000000002</c:v>
                </c:pt>
                <c:pt idx="5">
                  <c:v>0.2</c:v>
                </c:pt>
                <c:pt idx="6">
                  <c:v>0.30000000000000004</c:v>
                </c:pt>
              </c:numCache>
            </c:numRef>
          </c:xVal>
          <c:yVal>
            <c:numRef>
              <c:f>Sheet1!$H$9:$H$15</c:f>
              <c:numCache>
                <c:formatCode>0.00</c:formatCode>
                <c:ptCount val="7"/>
                <c:pt idx="0">
                  <c:v>0.62962051708665323</c:v>
                </c:pt>
                <c:pt idx="1">
                  <c:v>0.54561607657989453</c:v>
                </c:pt>
                <c:pt idx="2">
                  <c:v>0.43726484232719082</c:v>
                </c:pt>
                <c:pt idx="3">
                  <c:v>0.36550656103895662</c:v>
                </c:pt>
                <c:pt idx="4">
                  <c:v>0.36311532585738759</c:v>
                </c:pt>
                <c:pt idx="5">
                  <c:v>0.32797405391926721</c:v>
                </c:pt>
                <c:pt idx="6">
                  <c:v>0.32137759873824773</c:v>
                </c:pt>
              </c:numCache>
            </c:numRef>
          </c:yVal>
          <c:smooth val="1"/>
        </c:ser>
        <c:ser>
          <c:idx val="2"/>
          <c:order val="2"/>
          <c:tx>
            <c:v>alum dose=1.5mg/L</c:v>
          </c:tx>
          <c:marker>
            <c:symbol val="triangle"/>
            <c:size val="5"/>
          </c:marker>
          <c:xVal>
            <c:numRef>
              <c:f>Sheet1!$C$16:$C$22</c:f>
              <c:numCache>
                <c:formatCode>General</c:formatCode>
                <c:ptCount val="7"/>
                <c:pt idx="0">
                  <c:v>0.05</c:v>
                </c:pt>
                <c:pt idx="1">
                  <c:v>7.5000000000000011E-2</c:v>
                </c:pt>
                <c:pt idx="2">
                  <c:v>0.1</c:v>
                </c:pt>
                <c:pt idx="3">
                  <c:v>0.125</c:v>
                </c:pt>
                <c:pt idx="4">
                  <c:v>0.15000000000000002</c:v>
                </c:pt>
                <c:pt idx="5">
                  <c:v>0.2</c:v>
                </c:pt>
                <c:pt idx="6">
                  <c:v>0.30000000000000004</c:v>
                </c:pt>
              </c:numCache>
            </c:numRef>
          </c:xVal>
          <c:yVal>
            <c:numRef>
              <c:f>Sheet1!$H$16:$H$22</c:f>
              <c:numCache>
                <c:formatCode>0.00</c:formatCode>
                <c:ptCount val="7"/>
                <c:pt idx="0">
                  <c:v>1.4366497764334034</c:v>
                </c:pt>
                <c:pt idx="1">
                  <c:v>1.6477294371561886</c:v>
                </c:pt>
                <c:pt idx="2">
                  <c:v>1.6677744955103531</c:v>
                </c:pt>
                <c:pt idx="3">
                  <c:v>1.6221206223954374</c:v>
                </c:pt>
                <c:pt idx="4">
                  <c:v>1.6412450673969439</c:v>
                </c:pt>
                <c:pt idx="5">
                  <c:v>1.546968633599654</c:v>
                </c:pt>
                <c:pt idx="6">
                  <c:v>1.3893488259363582</c:v>
                </c:pt>
              </c:numCache>
            </c:numRef>
          </c:yVal>
          <c:smooth val="1"/>
        </c:ser>
        <c:ser>
          <c:idx val="3"/>
          <c:order val="3"/>
          <c:tx>
            <c:v>alum dose=2mg/L</c:v>
          </c:tx>
          <c:marker>
            <c:symbol val="x"/>
            <c:size val="5"/>
          </c:marker>
          <c:xVal>
            <c:numRef>
              <c:f>Sheet1!$C$23:$C$29</c:f>
              <c:numCache>
                <c:formatCode>General</c:formatCode>
                <c:ptCount val="7"/>
                <c:pt idx="0">
                  <c:v>0.05</c:v>
                </c:pt>
                <c:pt idx="1">
                  <c:v>7.5000000000000011E-2</c:v>
                </c:pt>
                <c:pt idx="2">
                  <c:v>0.1</c:v>
                </c:pt>
                <c:pt idx="3">
                  <c:v>0.125</c:v>
                </c:pt>
                <c:pt idx="4">
                  <c:v>0.15000000000000002</c:v>
                </c:pt>
                <c:pt idx="5">
                  <c:v>0.2</c:v>
                </c:pt>
                <c:pt idx="6">
                  <c:v>0.30000000000000004</c:v>
                </c:pt>
              </c:numCache>
            </c:numRef>
          </c:xVal>
          <c:yVal>
            <c:numRef>
              <c:f>Sheet1!$H$23:$H$29</c:f>
              <c:numCache>
                <c:formatCode>0.00</c:formatCode>
                <c:ptCount val="7"/>
                <c:pt idx="0">
                  <c:v>1.6553441060147653</c:v>
                </c:pt>
                <c:pt idx="1">
                  <c:v>1.6331555742791175</c:v>
                </c:pt>
                <c:pt idx="2">
                  <c:v>1.5502218874995977</c:v>
                </c:pt>
                <c:pt idx="3">
                  <c:v>1.5433828102362024</c:v>
                </c:pt>
                <c:pt idx="4">
                  <c:v>1.5366358138728351</c:v>
                </c:pt>
                <c:pt idx="5">
                  <c:v>1.4594619261878905</c:v>
                </c:pt>
                <c:pt idx="6">
                  <c:v>1.3878136313924276</c:v>
                </c:pt>
              </c:numCache>
            </c:numRef>
          </c:yVal>
          <c:smooth val="1"/>
        </c:ser>
        <c:ser>
          <c:idx val="4"/>
          <c:order val="4"/>
          <c:tx>
            <c:v>alum dose=3mg/L</c:v>
          </c:tx>
          <c:marker>
            <c:symbol val="circle"/>
            <c:size val="5"/>
          </c:marker>
          <c:xVal>
            <c:numRef>
              <c:f>Sheet1!$C$30:$C$36</c:f>
              <c:numCache>
                <c:formatCode>General</c:formatCode>
                <c:ptCount val="7"/>
                <c:pt idx="0">
                  <c:v>0.05</c:v>
                </c:pt>
                <c:pt idx="1">
                  <c:v>7.5000000000000011E-2</c:v>
                </c:pt>
                <c:pt idx="2">
                  <c:v>0.1</c:v>
                </c:pt>
                <c:pt idx="3">
                  <c:v>0.125</c:v>
                </c:pt>
                <c:pt idx="4">
                  <c:v>0.15000000000000002</c:v>
                </c:pt>
                <c:pt idx="5">
                  <c:v>0.2</c:v>
                </c:pt>
                <c:pt idx="6">
                  <c:v>0.30000000000000004</c:v>
                </c:pt>
              </c:numCache>
            </c:numRef>
          </c:xVal>
          <c:yVal>
            <c:numRef>
              <c:f>Sheet1!$H$30:$H$36</c:f>
              <c:numCache>
                <c:formatCode>0.00</c:formatCode>
                <c:ptCount val="7"/>
                <c:pt idx="0">
                  <c:v>1.7901081345518837</c:v>
                </c:pt>
                <c:pt idx="1">
                  <c:v>1.822127711210646</c:v>
                </c:pt>
                <c:pt idx="2">
                  <c:v>1.8021814216735672</c:v>
                </c:pt>
                <c:pt idx="3">
                  <c:v>1.7593540067999578</c:v>
                </c:pt>
                <c:pt idx="4">
                  <c:v>1.7303985006344758</c:v>
                </c:pt>
                <c:pt idx="5">
                  <c:v>1.7416929258131497</c:v>
                </c:pt>
                <c:pt idx="6">
                  <c:v>1.7180063340438561</c:v>
                </c:pt>
              </c:numCache>
            </c:numRef>
          </c:yVal>
          <c:smooth val="1"/>
        </c:ser>
        <c:axId val="193278336"/>
        <c:axId val="193036672"/>
      </c:scatterChart>
      <c:valAx>
        <c:axId val="193278336"/>
        <c:scaling>
          <c:orientation val="minMax"/>
        </c:scaling>
        <c:axPos val="b"/>
        <c:title>
          <c:tx>
            <c:rich>
              <a:bodyPr/>
              <a:lstStyle/>
              <a:p>
                <a:pPr>
                  <a:defRPr/>
                </a:pPr>
                <a:r>
                  <a:rPr lang="en-US" altLang="zh-CN"/>
                  <a:t>capture velocity (mm/s)</a:t>
                </a:r>
                <a:endParaRPr lang="zh-CN" altLang="en-US"/>
              </a:p>
            </c:rich>
          </c:tx>
        </c:title>
        <c:numFmt formatCode="General" sourceLinked="1"/>
        <c:tickLblPos val="nextTo"/>
        <c:crossAx val="193036672"/>
        <c:crosses val="autoZero"/>
        <c:crossBetween val="midCat"/>
      </c:valAx>
      <c:valAx>
        <c:axId val="193036672"/>
        <c:scaling>
          <c:orientation val="minMax"/>
        </c:scaling>
        <c:axPos val="l"/>
        <c:majorGridlines/>
        <c:title>
          <c:tx>
            <c:rich>
              <a:bodyPr rot="-5400000" vert="horz"/>
              <a:lstStyle/>
              <a:p>
                <a:pPr>
                  <a:defRPr/>
                </a:pPr>
                <a:r>
                  <a:rPr lang="en-US" altLang="zh-CN"/>
                  <a:t>PC*</a:t>
                </a:r>
              </a:p>
            </c:rich>
          </c:tx>
        </c:title>
        <c:numFmt formatCode="0.00" sourceLinked="1"/>
        <c:tickLblPos val="nextTo"/>
        <c:crossAx val="193278336"/>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190</Words>
  <Characters>1088</Characters>
  <Application>Microsoft Office Word</Application>
  <DocSecurity>0</DocSecurity>
  <Lines>9</Lines>
  <Paragraphs>2</Paragraphs>
  <ScaleCrop>false</ScaleCrop>
  <Company>番茄花园</Company>
  <LinksUpToDate>false</LinksUpToDate>
  <CharactersWithSpaces>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cp:revision>
  <dcterms:created xsi:type="dcterms:W3CDTF">2011-12-02T00:37:00Z</dcterms:created>
  <dcterms:modified xsi:type="dcterms:W3CDTF">2011-12-02T03:30:00Z</dcterms:modified>
</cp:coreProperties>
</file>